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C88F8" w14:textId="77777777" w:rsidR="007A7E45" w:rsidRPr="00FE4B89" w:rsidRDefault="007A7E45" w:rsidP="00FE4B89"/>
    <w:p w14:paraId="2ECF3A68" w14:textId="77777777" w:rsidR="00892FB6" w:rsidRDefault="00011AD2">
      <w:pPr>
        <w:pStyle w:val="Naslov1"/>
      </w:pPr>
      <w:r>
        <w:t>OBRAZLOŽENJE OPĆEG DIJELA FINANCIJSKOG PLANA</w:t>
      </w:r>
    </w:p>
    <w:p w14:paraId="5F0076FB" w14:textId="77777777" w:rsidR="00892FB6" w:rsidRDefault="00011AD2">
      <w:pPr>
        <w:pStyle w:val="Naslov2"/>
      </w:pPr>
      <w:r>
        <w:t>08605 Ministarstvo rada, mirovinskoga sustava, obitelji i socijalne politike</w:t>
      </w:r>
    </w:p>
    <w:p w14:paraId="2FE154CD" w14:textId="77777777" w:rsidR="00892FB6" w:rsidRDefault="00011AD2">
      <w:r>
        <w:t xml:space="preserve">PRIHODI I PRIMICI </w:t>
      </w:r>
    </w:p>
    <w:p w14:paraId="727EF93D" w14:textId="77777777" w:rsidR="00892FB6" w:rsidRDefault="00011AD2">
      <w:r>
        <w:t xml:space="preserve">Ukupni prihodi i primici planirani su u ukupnom iznosu od 433.395.592 eura u 2025., 458.737.784 eura u 2026. i 376.263.747 eura u 2027. godini.  </w:t>
      </w:r>
    </w:p>
    <w:p w14:paraId="0C2C7EEB" w14:textId="77777777" w:rsidR="00892FB6" w:rsidRDefault="00011AD2">
      <w:r>
        <w:t xml:space="preserve">Najveći dio ukupnih prihoda čine Opći prihodi i primici (izvor financiranja 11) planirani u iznosu od 279.768.087 eura u 2025., 276.495.900 eura u 2026. i 233.391.291 eura u 2027. godini. </w:t>
      </w:r>
    </w:p>
    <w:p w14:paraId="220DA443" w14:textId="77777777" w:rsidR="00892FB6" w:rsidRDefault="00011AD2">
      <w:r>
        <w:t xml:space="preserve">Sredstva učešća za pomoći (izvor financiranja 12) planirana su u iznosu od 14.943.882 eura u 2025., 20.777.527 eura u 2026. i 13.685.902 eura u 2027. godini. </w:t>
      </w:r>
    </w:p>
    <w:p w14:paraId="00635C3C" w14:textId="77777777" w:rsidR="00892FB6" w:rsidRDefault="00011AD2">
      <w:r>
        <w:t xml:space="preserve">Vlastiti prihodi (izvor financiranja 31) planirani su u iznosu od 9.291 eura za svaku od planiranih godina. </w:t>
      </w:r>
    </w:p>
    <w:p w14:paraId="7ED61E9E" w14:textId="77777777" w:rsidR="00892FB6" w:rsidRDefault="00011AD2">
      <w:r>
        <w:t xml:space="preserve">Prihodi od igara na sreću (izvor financiranja 41) planirani su u iznosu od 26.747.397 eura u 2025., 27.005.640 eura u 2026. i 27.196.188 eura u 2027. godini. </w:t>
      </w:r>
    </w:p>
    <w:p w14:paraId="776195C6" w14:textId="77777777" w:rsidR="00892FB6" w:rsidRDefault="00011AD2">
      <w:r>
        <w:t xml:space="preserve">Ostali prihodi za posebne namjene (izvor financiranja 43) planirani su u iznosu od 72.000 eura u 2025., 75.000 eura u 2026. i 77.000 eura u 2027. godini. </w:t>
      </w:r>
    </w:p>
    <w:p w14:paraId="75BBB740" w14:textId="77777777" w:rsidR="00892FB6" w:rsidRDefault="00011AD2">
      <w:r>
        <w:t xml:space="preserve">Pomoći EU (izvor financiranja 51) planirani su u iznosu od 60.000 eura za svaku od planiranih godina. </w:t>
      </w:r>
    </w:p>
    <w:p w14:paraId="3D7208DD" w14:textId="77777777" w:rsidR="00892FB6" w:rsidRDefault="00011AD2">
      <w:r>
        <w:t xml:space="preserve">Ostale pomoći (izvor financiranja 52) planirani su u iznosu od 1.500 eura u 2025., 1.800 eura u 2026. i 2.100 eura u 2027. godini. </w:t>
      </w:r>
    </w:p>
    <w:p w14:paraId="5ACACE71" w14:textId="77777777" w:rsidR="00892FB6" w:rsidRDefault="00011AD2">
      <w:r>
        <w:t xml:space="preserve">Prihodi iz Europskog socijalnog fonda – ESF (izvor financiranja 561) planirani su u iznosu od 89.425.594 eura u 2025., 115.657.307 eura u 2026. i 101.186.656 eura u 2027. godini. </w:t>
      </w:r>
    </w:p>
    <w:p w14:paraId="315E9BD2" w14:textId="77777777" w:rsidR="00892FB6" w:rsidRDefault="00011AD2">
      <w:r>
        <w:t xml:space="preserve">Prihodi iz fonda Mehanizam za oporavak i otpornost (izvor financiranja 581) planirani su u iznosu od 21.836.950 eura u 2025., 18.124.428 eura u 2026. i 124.428 eura u 2027. godini. </w:t>
      </w:r>
    </w:p>
    <w:p w14:paraId="158C87CE" w14:textId="77777777" w:rsidR="00892FB6" w:rsidRDefault="00011AD2">
      <w:r>
        <w:t xml:space="preserve">Namjenski primitak – NPOO (izvor financiranja 815) planiran je u iznosu od 530.891 eura za svaku od planiranih godina. </w:t>
      </w:r>
    </w:p>
    <w:p w14:paraId="4B42AC5F" w14:textId="77777777" w:rsidR="00892FB6" w:rsidRDefault="00011AD2">
      <w:r>
        <w:t xml:space="preserve"> </w:t>
      </w:r>
    </w:p>
    <w:p w14:paraId="57DB9DBD" w14:textId="77777777" w:rsidR="00892FB6" w:rsidRDefault="00011AD2">
      <w:r>
        <w:t xml:space="preserve"> </w:t>
      </w:r>
    </w:p>
    <w:p w14:paraId="1F3F44B6" w14:textId="77777777" w:rsidR="00892FB6" w:rsidRDefault="00011AD2">
      <w:r>
        <w:t xml:space="preserve">RASHODI I IZDACI </w:t>
      </w:r>
    </w:p>
    <w:p w14:paraId="593BC6EB" w14:textId="77777777" w:rsidR="00892FB6" w:rsidRDefault="00011AD2">
      <w:r>
        <w:t xml:space="preserve">Ukupni rashodi i izdaci planirani su u ukupnom iznosu od 424.373.634 eura u 2025., 449.381.854 eura u 2026. i 366.729.151 eura u 2027. godini.  </w:t>
      </w:r>
    </w:p>
    <w:p w14:paraId="654B062D" w14:textId="77777777" w:rsidR="00892FB6" w:rsidRDefault="00011AD2">
      <w:r>
        <w:t xml:space="preserve">Značajni rashodi planirani su za: </w:t>
      </w:r>
    </w:p>
    <w:p w14:paraId="0A38E044" w14:textId="77777777" w:rsidR="00892FB6" w:rsidRDefault="00011AD2">
      <w:r>
        <w:t>Financiranje socijalnih usluga koje proizlaze iz ugovora o međusobnim odnosima za pružanje socijalnih usluga, sklopljenih s ustanovama čiji osnivač nije Republika Hrvatska, te drugim pravnim i fizičkim osobama (pružatelji usluge) omogućava se ostvarivanje prava na socijalne usluge i to: djeci bez odgovarajuće roditeljske skrbi, djeci s poremećajima u ponašanju, osobama s tjelesnim i/ili intelektualnim oštećenjem, osobama s mentalnim oštećenjem, starijim i nemoćnim osobama, osobama ovisnima o alkoholu, droga</w:t>
      </w:r>
      <w:r>
        <w:t xml:space="preserve">ma, kockanju i drugim oblicima ovisnosti, žrtvama nasilja u obitelji te žrtvama trgovanja ljudima; </w:t>
      </w:r>
    </w:p>
    <w:p w14:paraId="4300441B" w14:textId="77777777" w:rsidR="00892FB6" w:rsidRDefault="00011AD2">
      <w:r>
        <w:t xml:space="preserve">Financiranje programa organizacija civilnog društva koji se odnose na pružanje usluge osobne asistencije omogućava se unapređenje kvalitete života osoba s invaliditetom i njihovo sudjelovanje u lokalnoj zajednici; </w:t>
      </w:r>
    </w:p>
    <w:p w14:paraId="7C418A82" w14:textId="77777777" w:rsidR="00892FB6" w:rsidRDefault="00011AD2">
      <w:r>
        <w:t xml:space="preserve">Dodatna sredstva izravnanja za decentraliziranu funkciju socijalne skrbi (domovi za starije osobe); </w:t>
      </w:r>
    </w:p>
    <w:p w14:paraId="796BA119" w14:textId="77777777" w:rsidR="00892FB6" w:rsidRDefault="00011AD2">
      <w:r>
        <w:t xml:space="preserve">Financiranje Operativnih programa učinkoviti ljudski potencijali, konkurentnost i kohezija – infrastruktura te Europski socijalni fond plus. </w:t>
      </w:r>
    </w:p>
    <w:p w14:paraId="3110304C" w14:textId="77777777" w:rsidR="00892FB6" w:rsidRDefault="00011AD2">
      <w:r>
        <w:t xml:space="preserve"> </w:t>
      </w:r>
    </w:p>
    <w:p w14:paraId="5519A2F5" w14:textId="77777777" w:rsidR="00892FB6" w:rsidRDefault="00011AD2">
      <w:r>
        <w:t xml:space="preserve">PRIJENOS SREDSTAVA IZ PRETHODNE I U SLJEDEĆU GODINU </w:t>
      </w:r>
    </w:p>
    <w:p w14:paraId="538D788E" w14:textId="77777777" w:rsidR="00892FB6" w:rsidRDefault="00011AD2">
      <w:r>
        <w:lastRenderedPageBreak/>
        <w:t xml:space="preserve">U 2025. planiran je ukupan prijenos sredstava u iznosu od 17.669.671 eura neutrošenih prihoda iz 2024. i to po izvorima financiranja:  </w:t>
      </w:r>
    </w:p>
    <w:p w14:paraId="7556BA79" w14:textId="77777777" w:rsidR="00892FB6" w:rsidRDefault="00011AD2">
      <w:r>
        <w:t xml:space="preserve">Prihodi od igara na sreću (izvor financiranja 41)  u iznosu od 17.320.518 eura </w:t>
      </w:r>
    </w:p>
    <w:p w14:paraId="1B3C9A76" w14:textId="77777777" w:rsidR="00892FB6" w:rsidRDefault="00011AD2">
      <w:r>
        <w:t xml:space="preserve">Donos odnosno odnos neutrošenih prihoda od igara na sreću odnosi se na prihode koji se neće utrošiti na financiranje projekata i programa organizacija civilnog društva sukladno pozivima za prijavu za financiranje programa. </w:t>
      </w:r>
    </w:p>
    <w:p w14:paraId="7EFE66EC" w14:textId="77777777" w:rsidR="00892FB6" w:rsidRDefault="00011AD2">
      <w:r>
        <w:t xml:space="preserve">Ostali prihodi za posebne namjene (izvor financiranja 43) u iznosu od 145.200 eura </w:t>
      </w:r>
    </w:p>
    <w:p w14:paraId="00BF6592" w14:textId="77777777" w:rsidR="00892FB6" w:rsidRDefault="00011AD2">
      <w:r>
        <w:t xml:space="preserve">Pomoći Europske unije (izvor financiranja 51) u iznosu od eura 169.469 eura </w:t>
      </w:r>
    </w:p>
    <w:p w14:paraId="49A85300" w14:textId="77777777" w:rsidR="00892FB6" w:rsidRDefault="00011AD2">
      <w:r>
        <w:t xml:space="preserve">Ostale pomoći (izvor financiranja 52) u iznosu od 716 eura </w:t>
      </w:r>
    </w:p>
    <w:p w14:paraId="59851359" w14:textId="77777777" w:rsidR="00892FB6" w:rsidRDefault="00011AD2">
      <w:r>
        <w:t xml:space="preserve">Donacije (izvor financiranja 61) u iznosu od 33.645 eura </w:t>
      </w:r>
    </w:p>
    <w:p w14:paraId="6144154C" w14:textId="77777777" w:rsidR="00892FB6" w:rsidRDefault="00011AD2">
      <w:r>
        <w:t xml:space="preserve">Donos odnosno odnos neutrošenih prihoda od ostalih pomoći i donacija planirani su u istoj svoti za sve godine iz razlog što ovim planom  nisu planirani rashodi koji se podmiruju iz tog izvora financiranja, a oni će se izvršavati sukladno njihovom dospijeću. </w:t>
      </w:r>
    </w:p>
    <w:p w14:paraId="0BF1E7E5" w14:textId="77777777" w:rsidR="00892FB6" w:rsidRDefault="00011AD2">
      <w:r>
        <w:t xml:space="preserve">  </w:t>
      </w:r>
    </w:p>
    <w:p w14:paraId="5A59E327" w14:textId="77777777" w:rsidR="00892FB6" w:rsidRDefault="00011AD2">
      <w:r>
        <w:t xml:space="preserve">UKUPNE I DOSPJELE OBVEZE </w:t>
      </w:r>
    </w:p>
    <w:p w14:paraId="456C3A64" w14:textId="77777777" w:rsidR="00892FB6" w:rsidRDefault="00011A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408E565" w14:textId="77777777" w:rsidR="00892FB6" w:rsidRDefault="00011AD2">
      <w:r>
        <w:t>Stanje obveza na dan 31.12.2023.</w:t>
      </w:r>
      <w:r>
        <w:tab/>
        <w:t xml:space="preserve">Stanje obveza na dan 30.06.2024. </w:t>
      </w:r>
    </w:p>
    <w:p w14:paraId="44553014" w14:textId="77777777" w:rsidR="00892FB6" w:rsidRDefault="00011AD2">
      <w:r>
        <w:t>Ukupne obveze</w:t>
      </w:r>
      <w:r>
        <w:tab/>
        <w:t xml:space="preserve">9.997.792,61 </w:t>
      </w:r>
      <w:r>
        <w:tab/>
        <w:t xml:space="preserve">                    6.421.925,77 </w:t>
      </w:r>
    </w:p>
    <w:p w14:paraId="132247AF" w14:textId="77777777" w:rsidR="00892FB6" w:rsidRDefault="00011AD2">
      <w:r>
        <w:t>Dospjele obveze</w:t>
      </w:r>
      <w:r>
        <w:tab/>
        <w:t>0,00</w:t>
      </w:r>
      <w:r>
        <w:tab/>
        <w:t xml:space="preserve">                                    0,00</w:t>
      </w:r>
    </w:p>
    <w:sectPr w:rsidR="00892FB6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ED8F3" w14:textId="77777777" w:rsidR="007A7E45" w:rsidRDefault="007A7E45" w:rsidP="00F352E6">
      <w:r>
        <w:separator/>
      </w:r>
    </w:p>
  </w:endnote>
  <w:endnote w:type="continuationSeparator" w:id="0">
    <w:p w14:paraId="44CD37FD" w14:textId="77777777" w:rsidR="007A7E45" w:rsidRDefault="007A7E45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5BC9C" w14:textId="77777777" w:rsidR="00011AD2" w:rsidRPr="00D769ED" w:rsidRDefault="00011AD2" w:rsidP="007D4430">
    <w:pPr>
      <w:pStyle w:val="Podnoje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40627" w14:textId="77777777" w:rsidR="007A7E45" w:rsidRDefault="007A7E45" w:rsidP="00F352E6">
      <w:r>
        <w:separator/>
      </w:r>
    </w:p>
  </w:footnote>
  <w:footnote w:type="continuationSeparator" w:id="0">
    <w:p w14:paraId="45ABDEBB" w14:textId="77777777" w:rsidR="007A7E45" w:rsidRDefault="007A7E45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ED34" w14:textId="77777777" w:rsidR="00011AD2" w:rsidRDefault="00011AD2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76"/>
    <w:rsid w:val="00011AD2"/>
    <w:rsid w:val="00013A1A"/>
    <w:rsid w:val="0002533C"/>
    <w:rsid w:val="000352D6"/>
    <w:rsid w:val="000C0A6C"/>
    <w:rsid w:val="0010779D"/>
    <w:rsid w:val="0013155A"/>
    <w:rsid w:val="0017490A"/>
    <w:rsid w:val="001E5246"/>
    <w:rsid w:val="002314E8"/>
    <w:rsid w:val="0027042C"/>
    <w:rsid w:val="00311AA1"/>
    <w:rsid w:val="00382225"/>
    <w:rsid w:val="0038695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7665AA"/>
    <w:rsid w:val="007A7E45"/>
    <w:rsid w:val="007D1C46"/>
    <w:rsid w:val="007D395B"/>
    <w:rsid w:val="007D4430"/>
    <w:rsid w:val="00847495"/>
    <w:rsid w:val="008636E2"/>
    <w:rsid w:val="00892FB6"/>
    <w:rsid w:val="008A7E2A"/>
    <w:rsid w:val="009359F2"/>
    <w:rsid w:val="0094382E"/>
    <w:rsid w:val="00951B1A"/>
    <w:rsid w:val="009E33D3"/>
    <w:rsid w:val="00A021A2"/>
    <w:rsid w:val="00A320E5"/>
    <w:rsid w:val="00A70582"/>
    <w:rsid w:val="00AB5FEA"/>
    <w:rsid w:val="00AB7B4E"/>
    <w:rsid w:val="00B15946"/>
    <w:rsid w:val="00B2737F"/>
    <w:rsid w:val="00B31E2E"/>
    <w:rsid w:val="00B41BF8"/>
    <w:rsid w:val="00BA487B"/>
    <w:rsid w:val="00BA7BD1"/>
    <w:rsid w:val="00BB642B"/>
    <w:rsid w:val="00BF02E9"/>
    <w:rsid w:val="00BF3F24"/>
    <w:rsid w:val="00C7470A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81AA8A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5C74-F0A5-43D9-90B4-B27B2CF5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Ivana Frater</cp:lastModifiedBy>
  <cp:revision>2</cp:revision>
  <dcterms:created xsi:type="dcterms:W3CDTF">2024-12-30T08:59:00Z</dcterms:created>
  <dcterms:modified xsi:type="dcterms:W3CDTF">2024-12-30T08:59:00Z</dcterms:modified>
</cp:coreProperties>
</file>